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FD" w:rsidRPr="006208C5" w:rsidRDefault="00A84CB8" w:rsidP="006208C5">
      <w:pPr>
        <w:rPr>
          <w:rFonts w:ascii="Arial" w:hAnsi="Arial" w:cs="Arial"/>
          <w:b/>
          <w:sz w:val="24"/>
          <w:szCs w:val="24"/>
        </w:rPr>
      </w:pPr>
      <w:bookmarkStart w:id="0" w:name="_GoBack"/>
      <w:r w:rsidRPr="006208C5">
        <w:rPr>
          <w:rFonts w:ascii="Arial" w:hAnsi="Arial" w:cs="Arial"/>
          <w:b/>
          <w:sz w:val="24"/>
          <w:szCs w:val="24"/>
        </w:rPr>
        <w:t>Critérios de Avaliação</w:t>
      </w:r>
    </w:p>
    <w:bookmarkEnd w:id="0"/>
    <w:p w:rsidR="006208C5" w:rsidRPr="006208C5" w:rsidRDefault="006208C5" w:rsidP="006208C5">
      <w:pPr>
        <w:pStyle w:val="paragrafo"/>
        <w:spacing w:after="0" w:line="276" w:lineRule="auto"/>
        <w:ind w:firstLine="708"/>
        <w:rPr>
          <w:rFonts w:cs="Arial"/>
          <w:sz w:val="22"/>
          <w:szCs w:val="22"/>
        </w:rPr>
      </w:pPr>
      <w:r w:rsidRPr="006208C5">
        <w:rPr>
          <w:rFonts w:cs="Arial"/>
          <w:snapToGrid/>
          <w:sz w:val="22"/>
          <w:szCs w:val="22"/>
        </w:rPr>
        <w:t xml:space="preserve">Nos termos gerais, a avaliação seguirá o que está proposto na Norma Acadêmica da Instituição para os Cursos Superiores. </w:t>
      </w:r>
    </w:p>
    <w:p w:rsidR="006208C5" w:rsidRPr="006208C5" w:rsidRDefault="006208C5" w:rsidP="006208C5">
      <w:pPr>
        <w:spacing w:after="0"/>
        <w:ind w:firstLine="708"/>
        <w:jc w:val="both"/>
        <w:rPr>
          <w:rFonts w:ascii="Arial" w:hAnsi="Arial" w:cs="Arial"/>
        </w:rPr>
      </w:pPr>
      <w:r w:rsidRPr="006208C5">
        <w:rPr>
          <w:rFonts w:ascii="Arial" w:hAnsi="Arial" w:cs="Arial"/>
        </w:rPr>
        <w:t>As avaliações do progresso dos alunos no processo de aprendizagem em cada componente curricular deverão orientar tanto o corpo docente quanto os próprios alunos, ou seja, deverão apresentar um caráter diagnóstico. Os resultados obtidos poderão validar ou retificar o valor das estratégias pedagógicas adotadas no ensino de cada conteúdo. Os critérios de avaliação adotados em cada disciplina deverão ser compartilhados com os alunos pelo professor na apresentação do plano de ensino a cada semestre letivo.</w:t>
      </w:r>
    </w:p>
    <w:p w:rsidR="006208C5" w:rsidRPr="006208C5" w:rsidRDefault="006208C5" w:rsidP="006208C5">
      <w:pPr>
        <w:spacing w:after="0"/>
        <w:ind w:firstLine="567"/>
        <w:jc w:val="both"/>
        <w:rPr>
          <w:rFonts w:ascii="Arial" w:hAnsi="Arial" w:cs="Arial"/>
        </w:rPr>
      </w:pPr>
      <w:r w:rsidRPr="006208C5">
        <w:rPr>
          <w:rFonts w:ascii="Arial" w:hAnsi="Arial" w:cs="Arial"/>
        </w:rPr>
        <w:t xml:space="preserve">Destacamos algumas diretrizes gerais que devem orientar os critérios de avaliação adotados nos diversos componentes curriculares que constituem a grade curricular do curso: </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Diversificação dos instrumentos de avaliação;</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Submissão dos alunos a não menos que dois instrumentos de avaliação diferentes;</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Parte da nota do aluno deverá ser obtida por meio de avaliação individual;</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Promoção de trabalho em equipe e de pesquisa;</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Avaliação processual e continuada;</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 xml:space="preserve">Adoção da escala de notas de </w:t>
      </w:r>
      <w:smartTag w:uri="urn:schemas-microsoft-com:office:smarttags" w:element="metricconverter">
        <w:smartTagPr>
          <w:attr w:name="ProductID" w:val="0,0 a"/>
        </w:smartTagPr>
        <w:r w:rsidRPr="006208C5">
          <w:rPr>
            <w:rFonts w:ascii="Arial" w:hAnsi="Arial" w:cs="Arial"/>
            <w:sz w:val="22"/>
            <w:szCs w:val="22"/>
          </w:rPr>
          <w:t>0,0 a</w:t>
        </w:r>
      </w:smartTag>
      <w:r w:rsidRPr="006208C5">
        <w:rPr>
          <w:rFonts w:ascii="Arial" w:hAnsi="Arial" w:cs="Arial"/>
          <w:sz w:val="22"/>
          <w:szCs w:val="22"/>
        </w:rPr>
        <w:t xml:space="preserve"> 10,0, com intervalos de 0,5 pontos;</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Nota mínima final de 6,0 (seis) pontos;</w:t>
      </w:r>
    </w:p>
    <w:p w:rsidR="006208C5" w:rsidRPr="006208C5" w:rsidRDefault="006208C5" w:rsidP="006208C5">
      <w:pPr>
        <w:pStyle w:val="PargrafodaLista"/>
        <w:numPr>
          <w:ilvl w:val="0"/>
          <w:numId w:val="1"/>
        </w:numPr>
        <w:tabs>
          <w:tab w:val="left" w:pos="2138"/>
        </w:tabs>
        <w:suppressAutoHyphens/>
        <w:spacing w:line="276" w:lineRule="auto"/>
        <w:ind w:left="924" w:hanging="357"/>
        <w:jc w:val="both"/>
        <w:rPr>
          <w:rFonts w:ascii="Arial" w:hAnsi="Arial" w:cs="Arial"/>
          <w:sz w:val="22"/>
          <w:szCs w:val="22"/>
        </w:rPr>
      </w:pPr>
      <w:r w:rsidRPr="006208C5">
        <w:rPr>
          <w:rFonts w:ascii="Arial" w:hAnsi="Arial" w:cs="Arial"/>
          <w:sz w:val="22"/>
          <w:szCs w:val="22"/>
        </w:rPr>
        <w:t>Haverá a adoção de instrumentos de avaliação substitutivos para os alunos que não atingirem o mínimo de 6,0 pontos. Concluído o processo de avaliação, caso o aluno não atinja a média referida, deverá cursar a disciplina em regime de dependência.</w:t>
      </w:r>
    </w:p>
    <w:p w:rsidR="006208C5" w:rsidRPr="006208C5" w:rsidRDefault="006208C5" w:rsidP="006208C5">
      <w:pPr>
        <w:tabs>
          <w:tab w:val="left" w:pos="2138"/>
        </w:tabs>
        <w:suppressAutoHyphens/>
        <w:spacing w:after="0"/>
        <w:ind w:firstLine="567"/>
        <w:jc w:val="both"/>
        <w:rPr>
          <w:rFonts w:ascii="Arial" w:hAnsi="Arial" w:cs="Arial"/>
        </w:rPr>
      </w:pPr>
      <w:r w:rsidRPr="006208C5">
        <w:rPr>
          <w:rFonts w:ascii="Arial" w:hAnsi="Arial" w:cs="Arial"/>
        </w:rPr>
        <w:t>Para avaliar o processo de desenvolvimento das competências pelos futuros professores é necessário verificar se eles adquiriram os conhecimentos necessários a sua atuação profissional. Os instrumentos de avaliação da aprendizagem serão diversos, tanto para orientar os estudos como para identificar a presença de aspectos relevantes na formação, tais como a capacidade de continuar aprendendo, a de utilizar conhecimentos adquiridos e de criar situações-problema para abordar determinado assunto. Dessa forma, farão parte do processo de avaliação: a produção escrita sobre os temas abordados, as avaliações individuais, as atividades em grupo e de pesquisa e a participação em projetos, seminários e congressos.</w:t>
      </w:r>
    </w:p>
    <w:p w:rsidR="006208C5" w:rsidRPr="006208C5" w:rsidRDefault="006208C5" w:rsidP="006208C5">
      <w:pPr>
        <w:spacing w:after="0"/>
        <w:rPr>
          <w:rFonts w:ascii="Arial" w:hAnsi="Arial" w:cs="Arial"/>
        </w:rPr>
      </w:pPr>
    </w:p>
    <w:p w:rsidR="006208C5" w:rsidRDefault="006208C5" w:rsidP="006208C5">
      <w:pPr>
        <w:rPr>
          <w:rFonts w:ascii="Arial" w:hAnsi="Arial" w:cs="Arial"/>
          <w:sz w:val="24"/>
          <w:szCs w:val="24"/>
        </w:rPr>
      </w:pPr>
    </w:p>
    <w:p w:rsidR="006208C5" w:rsidRPr="006208C5" w:rsidRDefault="006208C5" w:rsidP="006208C5">
      <w:pPr>
        <w:rPr>
          <w:rFonts w:ascii="Arial" w:hAnsi="Arial" w:cs="Arial"/>
        </w:rPr>
      </w:pPr>
      <w:r w:rsidRPr="006208C5">
        <w:rPr>
          <w:rFonts w:ascii="Arial" w:hAnsi="Arial" w:cs="Arial"/>
        </w:rPr>
        <w:t>Em síntese:</w:t>
      </w:r>
    </w:p>
    <w:p w:rsidR="00A84CB8" w:rsidRPr="006208C5" w:rsidRDefault="00A84CB8" w:rsidP="006208C5">
      <w:pPr>
        <w:jc w:val="both"/>
        <w:rPr>
          <w:rFonts w:ascii="Arial" w:hAnsi="Arial" w:cs="Arial"/>
        </w:rPr>
      </w:pPr>
      <w:r w:rsidRPr="006208C5">
        <w:rPr>
          <w:rFonts w:ascii="Arial" w:hAnsi="Arial" w:cs="Arial"/>
        </w:rPr>
        <w:t>O processo de avaliação envolverá diferentes instrumentos possíveis, dentre os quais: uma avaliação diagnóstica inicial individual e em grupo; provas individuais; trabalhos práticos realizados em grupo; pesquisas históricas e conceituais; relatórios de atividades; seminários. A recuperação paralela deverá ocorrer por meio de propostas de atividades complementares. O instrumento final de avaliação e de recuperação final envolverá uma avaliação individual.</w:t>
      </w:r>
    </w:p>
    <w:sectPr w:rsidR="00A84CB8" w:rsidRPr="006208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943B9"/>
    <w:multiLevelType w:val="hybridMultilevel"/>
    <w:tmpl w:val="9E467E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B8"/>
    <w:rsid w:val="00430C62"/>
    <w:rsid w:val="006208C5"/>
    <w:rsid w:val="00A84CB8"/>
    <w:rsid w:val="00B01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08C5"/>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paragrafo">
    <w:name w:val="paragrafo"/>
    <w:basedOn w:val="Normal"/>
    <w:rsid w:val="006208C5"/>
    <w:pPr>
      <w:spacing w:after="120" w:line="240" w:lineRule="auto"/>
      <w:ind w:firstLine="709"/>
      <w:jc w:val="both"/>
    </w:pPr>
    <w:rPr>
      <w:rFonts w:ascii="Arial" w:eastAsia="Times New Roman" w:hAnsi="Arial"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08C5"/>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paragrafo">
    <w:name w:val="paragrafo"/>
    <w:basedOn w:val="Normal"/>
    <w:rsid w:val="006208C5"/>
    <w:pPr>
      <w:spacing w:after="120" w:line="240" w:lineRule="auto"/>
      <w:ind w:firstLine="709"/>
      <w:jc w:val="both"/>
    </w:pPr>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IFSP Campus Caraguatatuba</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2015-12-14T12:32:00Z</dcterms:created>
  <dcterms:modified xsi:type="dcterms:W3CDTF">2015-12-14T12:44:00Z</dcterms:modified>
</cp:coreProperties>
</file>